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B2" w:rsidRDefault="007D4FFF" w:rsidP="007D4FFF">
      <w:pPr>
        <w:spacing w:line="500" w:lineRule="exact"/>
        <w:jc w:val="center"/>
        <w:rPr>
          <w:rFonts w:ascii="微软雅黑" w:eastAsia="微软雅黑" w:hAnsi="微软雅黑" w:cs="宋体" w:hint="eastAsia"/>
          <w:b/>
          <w:color w:val="FF0000"/>
          <w:kern w:val="0"/>
          <w:sz w:val="40"/>
          <w:szCs w:val="40"/>
        </w:rPr>
      </w:pPr>
      <w:r w:rsidRPr="007D4FFF">
        <w:rPr>
          <w:rFonts w:ascii="微软雅黑" w:eastAsia="微软雅黑" w:hAnsi="微软雅黑" w:cs="宋体" w:hint="eastAsia"/>
          <w:b/>
          <w:color w:val="FF0000"/>
          <w:kern w:val="0"/>
          <w:sz w:val="40"/>
          <w:szCs w:val="40"/>
        </w:rPr>
        <w:t>《</w:t>
      </w:r>
      <w:r w:rsidR="00614D2C" w:rsidRPr="007D4FFF">
        <w:rPr>
          <w:rFonts w:ascii="微软雅黑" w:eastAsia="微软雅黑" w:hAnsi="微软雅黑" w:cs="宋体" w:hint="eastAsia"/>
          <w:b/>
          <w:color w:val="FF0000"/>
          <w:kern w:val="0"/>
          <w:sz w:val="40"/>
          <w:szCs w:val="40"/>
        </w:rPr>
        <w:t>中华人民共和国人民法院组织法</w:t>
      </w:r>
      <w:r w:rsidRPr="007D4FFF">
        <w:rPr>
          <w:rFonts w:ascii="微软雅黑" w:eastAsia="微软雅黑" w:hAnsi="微软雅黑" w:cs="宋体" w:hint="eastAsia"/>
          <w:b/>
          <w:color w:val="FF0000"/>
          <w:kern w:val="0"/>
          <w:sz w:val="40"/>
          <w:szCs w:val="40"/>
        </w:rPr>
        <w:t>》</w:t>
      </w:r>
    </w:p>
    <w:p w:rsidR="007D4FFF" w:rsidRPr="007D4FFF" w:rsidRDefault="007D4FFF" w:rsidP="007D4FFF">
      <w:pPr>
        <w:spacing w:line="500" w:lineRule="exact"/>
        <w:jc w:val="center"/>
        <w:rPr>
          <w:rFonts w:ascii="微软雅黑" w:eastAsia="微软雅黑" w:hAnsi="微软雅黑" w:cs="宋体"/>
          <w:kern w:val="0"/>
          <w:sz w:val="24"/>
        </w:rPr>
      </w:pPr>
      <w:r w:rsidRPr="007D4FFF">
        <w:rPr>
          <w:rFonts w:ascii="微软雅黑" w:eastAsia="微软雅黑" w:hAnsi="微软雅黑" w:cs="宋体" w:hint="eastAsia"/>
          <w:kern w:val="0"/>
          <w:sz w:val="24"/>
        </w:rPr>
        <w:t>2019-01-01</w:t>
      </w:r>
    </w:p>
    <w:p w:rsidR="005528B2" w:rsidRPr="007D4FFF" w:rsidRDefault="005528B2" w:rsidP="007D4FFF">
      <w:pPr>
        <w:spacing w:line="240" w:lineRule="exact"/>
        <w:rPr>
          <w:rFonts w:ascii="微软雅黑" w:eastAsia="微软雅黑" w:hAnsi="微软雅黑" w:cs="宋体"/>
          <w:color w:val="00B050"/>
          <w:kern w:val="0"/>
          <w:sz w:val="20"/>
          <w:szCs w:val="20"/>
        </w:rPr>
      </w:pPr>
    </w:p>
    <w:p w:rsidR="005528B2" w:rsidRPr="007D4FFF" w:rsidRDefault="00614D2C" w:rsidP="007D4FFF">
      <w:pPr>
        <w:spacing w:line="240" w:lineRule="exact"/>
        <w:ind w:leftChars="200" w:left="640" w:rightChars="200" w:right="640"/>
        <w:rPr>
          <w:rFonts w:ascii="微软雅黑" w:eastAsia="微软雅黑" w:hAnsi="微软雅黑" w:cs="Arial"/>
          <w:color w:val="00B050"/>
          <w:kern w:val="0"/>
          <w:sz w:val="20"/>
          <w:szCs w:val="20"/>
        </w:rPr>
      </w:pPr>
      <w:r w:rsidRPr="007D4FFF">
        <w:rPr>
          <w:rFonts w:ascii="微软雅黑" w:eastAsia="微软雅黑" w:hAnsi="微软雅黑" w:cs="Arial" w:hint="eastAsia"/>
          <w:color w:val="00B050"/>
          <w:kern w:val="0"/>
          <w:sz w:val="20"/>
          <w:szCs w:val="20"/>
        </w:rPr>
        <w:t>（1979年7月1日第五届全国人民代表大会第二次会议通过　根据1983年9月2日第六届全国人民代表大会常务委员会第二次会议《关于修改〈中华人民共和国人民法院组织法〉的决定》第一次修正　根据1986年12月2日第六届全国人民代表大会常务委员会第十八次会议《关于修改〈中华人民共和国地方各级人民代表大会和地方各级人民政府组织法〉的决定》第二次修正　根据2006年10月31日第十届全国人民代表大会常务委员会第二十四次会议《关于修改〈中华人民共和国人民法院组织法〉的决定》第三次修正　2018年10月26日第十三届全国人民代表大会常务委员会第六次会议修订）</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Arial"/>
          <w:b/>
          <w:kern w:val="0"/>
          <w:sz w:val="20"/>
          <w:szCs w:val="20"/>
        </w:rPr>
      </w:pPr>
      <w:r w:rsidRPr="007D4FFF">
        <w:rPr>
          <w:rFonts w:ascii="微软雅黑" w:eastAsia="微软雅黑" w:hAnsi="微软雅黑" w:cs="Arial" w:hint="eastAsia"/>
          <w:b/>
          <w:kern w:val="0"/>
          <w:sz w:val="20"/>
          <w:szCs w:val="20"/>
        </w:rPr>
        <w:t>目　　录</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第一章　总则</w:t>
      </w:r>
      <w:r w:rsidR="007D4FFF">
        <w:rPr>
          <w:rFonts w:ascii="微软雅黑" w:eastAsia="微软雅黑" w:hAnsi="微软雅黑" w:cs="Arial" w:hint="eastAsia"/>
          <w:b/>
          <w:color w:val="7030A0"/>
          <w:kern w:val="0"/>
          <w:sz w:val="20"/>
          <w:szCs w:val="20"/>
        </w:rPr>
        <w:t xml:space="preserve"> ---------------------------------------------------------------------------------------------------</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第二章　人民法院的设置和职权</w:t>
      </w:r>
      <w:r w:rsidR="007D4FFF">
        <w:rPr>
          <w:rFonts w:ascii="微软雅黑" w:eastAsia="微软雅黑" w:hAnsi="微软雅黑" w:cs="Arial" w:hint="eastAsia"/>
          <w:b/>
          <w:color w:val="7030A0"/>
          <w:kern w:val="0"/>
          <w:sz w:val="20"/>
          <w:szCs w:val="20"/>
        </w:rPr>
        <w:t xml:space="preserve"> ---------------------------------------------------------------------------------</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第三章　人民法院的审判组织</w:t>
      </w:r>
      <w:r w:rsidR="007D4FFF">
        <w:rPr>
          <w:rFonts w:ascii="微软雅黑" w:eastAsia="微软雅黑" w:hAnsi="微软雅黑" w:cs="Arial" w:hint="eastAsia"/>
          <w:b/>
          <w:color w:val="7030A0"/>
          <w:kern w:val="0"/>
          <w:sz w:val="20"/>
          <w:szCs w:val="20"/>
        </w:rPr>
        <w:t xml:space="preserve"> -----------------------------------------------------------------------------------</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第四章　人民法院的人员组成</w:t>
      </w:r>
      <w:r w:rsidR="007D4FFF">
        <w:rPr>
          <w:rFonts w:ascii="微软雅黑" w:eastAsia="微软雅黑" w:hAnsi="微软雅黑" w:cs="Arial" w:hint="eastAsia"/>
          <w:b/>
          <w:color w:val="7030A0"/>
          <w:kern w:val="0"/>
          <w:sz w:val="20"/>
          <w:szCs w:val="20"/>
        </w:rPr>
        <w:t xml:space="preserve"> -----------------------------------------------------------------------------------</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第五章　人民法院行使职权的保障</w:t>
      </w:r>
      <w:r w:rsidR="007D4FFF">
        <w:rPr>
          <w:rFonts w:ascii="微软雅黑" w:eastAsia="微软雅黑" w:hAnsi="微软雅黑" w:cs="Arial" w:hint="eastAsia"/>
          <w:b/>
          <w:color w:val="7030A0"/>
          <w:kern w:val="0"/>
          <w:sz w:val="20"/>
          <w:szCs w:val="20"/>
        </w:rPr>
        <w:t xml:space="preserve"> -------------------------------------------------------------------------------</w:t>
      </w:r>
    </w:p>
    <w:p w:rsidR="005528B2" w:rsidRPr="007D4FFF" w:rsidRDefault="00614D2C" w:rsidP="007D4FFF">
      <w:pPr>
        <w:spacing w:line="240" w:lineRule="exact"/>
        <w:rPr>
          <w:rFonts w:ascii="微软雅黑" w:eastAsia="微软雅黑" w:hAnsi="微软雅黑" w:cs="Arial"/>
          <w:b/>
          <w:color w:val="7030A0"/>
          <w:kern w:val="0"/>
          <w:sz w:val="20"/>
          <w:szCs w:val="20"/>
        </w:rPr>
      </w:pPr>
      <w:r w:rsidRPr="007D4FFF">
        <w:rPr>
          <w:rFonts w:ascii="微软雅黑" w:eastAsia="微软雅黑" w:hAnsi="微软雅黑" w:cs="Arial" w:hint="eastAsia"/>
          <w:b/>
          <w:color w:val="7030A0"/>
          <w:kern w:val="0"/>
          <w:sz w:val="20"/>
          <w:szCs w:val="20"/>
        </w:rPr>
        <w:t xml:space="preserve">　　第六章　附则</w:t>
      </w:r>
      <w:r w:rsidR="007D4FFF">
        <w:rPr>
          <w:rFonts w:ascii="微软雅黑" w:eastAsia="微软雅黑" w:hAnsi="微软雅黑" w:cs="Arial" w:hint="eastAsia"/>
          <w:b/>
          <w:color w:val="7030A0"/>
          <w:kern w:val="0"/>
          <w:sz w:val="20"/>
          <w:szCs w:val="20"/>
        </w:rPr>
        <w:t xml:space="preserve"> ---------------------------------------------------------------------------------------------------</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第一章　总则</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Pr="00397529">
        <w:rPr>
          <w:rFonts w:ascii="微软雅黑" w:eastAsia="微软雅黑" w:hAnsi="微软雅黑" w:cs="黑体" w:hint="eastAsia"/>
          <w:b/>
          <w:kern w:val="0"/>
          <w:sz w:val="20"/>
          <w:szCs w:val="20"/>
        </w:rPr>
        <w:t>第一条</w:t>
      </w:r>
      <w:r w:rsidRPr="007D4FFF">
        <w:rPr>
          <w:rFonts w:ascii="微软雅黑" w:eastAsia="微软雅黑" w:hAnsi="微软雅黑" w:cs="Arial" w:hint="eastAsia"/>
          <w:kern w:val="0"/>
          <w:sz w:val="20"/>
          <w:szCs w:val="20"/>
        </w:rPr>
        <w:t xml:space="preserve">　为了规范人民法院的设置、组织和职权，保障人民法院依法履行职责，根据宪法，制定本法。</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第二条</w:t>
      </w:r>
      <w:r w:rsidRPr="007D4FFF">
        <w:rPr>
          <w:rFonts w:ascii="微软雅黑" w:eastAsia="微软雅黑" w:hAnsi="微软雅黑" w:cs="Arial" w:hint="eastAsia"/>
          <w:kern w:val="0"/>
          <w:sz w:val="20"/>
          <w:szCs w:val="20"/>
        </w:rPr>
        <w:t xml:space="preserve">　人民法院是国家的审判机关。</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人民法院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第三条</w:t>
      </w:r>
      <w:r w:rsidRPr="007D4FFF">
        <w:rPr>
          <w:rFonts w:ascii="微软雅黑" w:eastAsia="微软雅黑" w:hAnsi="微软雅黑" w:cs="Arial" w:hint="eastAsia"/>
          <w:kern w:val="0"/>
          <w:sz w:val="20"/>
          <w:szCs w:val="20"/>
        </w:rPr>
        <w:t xml:space="preserve">　人民法院依照宪法、法律和全国人民代表大会常务委员会的决定设置。</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第四条</w:t>
      </w:r>
      <w:r w:rsidRPr="007D4FFF">
        <w:rPr>
          <w:rFonts w:ascii="微软雅黑" w:eastAsia="微软雅黑" w:hAnsi="微软雅黑" w:cs="Arial" w:hint="eastAsia"/>
          <w:kern w:val="0"/>
          <w:sz w:val="20"/>
          <w:szCs w:val="20"/>
        </w:rPr>
        <w:t xml:space="preserve">　人民法院依照法律规定独立行使审判权，不受行政机关、社会团体和个人的干涉。</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第五条</w:t>
      </w:r>
      <w:r w:rsidRPr="007D4FFF">
        <w:rPr>
          <w:rFonts w:ascii="微软雅黑" w:eastAsia="微软雅黑" w:hAnsi="微软雅黑" w:cs="Arial" w:hint="eastAsia"/>
          <w:kern w:val="0"/>
          <w:sz w:val="20"/>
          <w:szCs w:val="20"/>
        </w:rPr>
        <w:t xml:space="preserve">　人民法院审判案件在适用法律上一律平等，不允许任何组织和个人有超越法律的特权，禁止任何形式的歧视。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第六条</w:t>
      </w:r>
      <w:r w:rsidRPr="007D4FFF">
        <w:rPr>
          <w:rFonts w:ascii="微软雅黑" w:eastAsia="微软雅黑" w:hAnsi="微软雅黑" w:cs="Arial" w:hint="eastAsia"/>
          <w:kern w:val="0"/>
          <w:sz w:val="20"/>
          <w:szCs w:val="20"/>
        </w:rPr>
        <w:t xml:space="preserve">　人民法院坚持司法公正，以事实为根据，以法律为准绳，遵守法定程序，依法保护个人和组织的诉讼权利和其他合法权益，尊重和保障人权。</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第七条</w:t>
      </w:r>
      <w:r w:rsidRPr="007D4FFF">
        <w:rPr>
          <w:rFonts w:ascii="微软雅黑" w:eastAsia="微软雅黑" w:hAnsi="微软雅黑" w:cs="Arial" w:hint="eastAsia"/>
          <w:kern w:val="0"/>
          <w:sz w:val="20"/>
          <w:szCs w:val="20"/>
        </w:rPr>
        <w:t xml:space="preserve">　人民法院实行司法公开，法律另有规定的除外。</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第八条</w:t>
      </w:r>
      <w:r w:rsidRPr="007D4FFF">
        <w:rPr>
          <w:rFonts w:ascii="微软雅黑" w:eastAsia="微软雅黑" w:hAnsi="微软雅黑" w:cs="Arial" w:hint="eastAsia"/>
          <w:kern w:val="0"/>
          <w:sz w:val="20"/>
          <w:szCs w:val="20"/>
        </w:rPr>
        <w:t xml:space="preserve">　人民法院实行司法责任制，建立健全权责统一的司法权力运行机制。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第九条</w:t>
      </w:r>
      <w:r w:rsidRPr="007D4FFF">
        <w:rPr>
          <w:rFonts w:ascii="微软雅黑" w:eastAsia="微软雅黑" w:hAnsi="微软雅黑" w:cs="Arial" w:hint="eastAsia"/>
          <w:kern w:val="0"/>
          <w:sz w:val="20"/>
          <w:szCs w:val="20"/>
        </w:rPr>
        <w:t xml:space="preserve">　最高人民法院对全国人民代表大会及其常务委员会负责并报告工作。地方各级人民法院对本级人民代表大会及其常务委员会负责并报告工作。</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各级人民代表大会及其常务委员会对本级人民法院的工作实施监督。</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第十条</w:t>
      </w:r>
      <w:r w:rsidRPr="007D4FFF">
        <w:rPr>
          <w:rFonts w:ascii="微软雅黑" w:eastAsia="微软雅黑" w:hAnsi="微软雅黑" w:cs="Arial" w:hint="eastAsia"/>
          <w:kern w:val="0"/>
          <w:sz w:val="20"/>
          <w:szCs w:val="20"/>
        </w:rPr>
        <w:t xml:space="preserve">　最高人民法院是最高审判机关。</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最高人民法院监督地方各级人民法院和专门人民法院的审判工作,上级人民法院监督下级人民法院的审判工作。</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第十一条</w:t>
      </w:r>
      <w:r w:rsidRPr="007D4FFF">
        <w:rPr>
          <w:rFonts w:ascii="微软雅黑" w:eastAsia="微软雅黑" w:hAnsi="微软雅黑" w:cs="Arial" w:hint="eastAsia"/>
          <w:kern w:val="0"/>
          <w:sz w:val="20"/>
          <w:szCs w:val="20"/>
        </w:rPr>
        <w:t xml:space="preserve">　人民法院应当接受人民群众监督，保障人民群众对人民法院工作依法享有知情权、参与权和监督权。</w:t>
      </w:r>
    </w:p>
    <w:p w:rsidR="005528B2" w:rsidRPr="007D4FFF" w:rsidRDefault="005528B2" w:rsidP="007D4FFF">
      <w:pPr>
        <w:spacing w:line="240" w:lineRule="exact"/>
        <w:rPr>
          <w:rFonts w:ascii="微软雅黑" w:eastAsia="微软雅黑" w:hAnsi="微软雅黑" w:cs="宋体"/>
          <w:kern w:val="0"/>
          <w:sz w:val="20"/>
          <w:szCs w:val="20"/>
        </w:rPr>
      </w:pPr>
    </w:p>
    <w:p w:rsidR="005528B2" w:rsidRPr="00F26D56" w:rsidRDefault="00614D2C" w:rsidP="00F26D56">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第二章　人民法院的设置和职权</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Pr="00397529">
        <w:rPr>
          <w:rFonts w:ascii="微软雅黑" w:eastAsia="微软雅黑" w:hAnsi="微软雅黑" w:cs="黑体" w:hint="eastAsia"/>
          <w:b/>
          <w:kern w:val="0"/>
          <w:sz w:val="20"/>
          <w:szCs w:val="20"/>
        </w:rPr>
        <w:t>第十二条</w:t>
      </w:r>
      <w:r w:rsidRPr="007D4FFF">
        <w:rPr>
          <w:rFonts w:ascii="微软雅黑" w:eastAsia="微软雅黑" w:hAnsi="微软雅黑" w:cs="Arial" w:hint="eastAsia"/>
          <w:kern w:val="0"/>
          <w:sz w:val="20"/>
          <w:szCs w:val="20"/>
        </w:rPr>
        <w:t xml:space="preserve">　人民法院分为：</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（一）最高人民法院；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（二）地方各级人民法院；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（三）专门人民法院。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第十三条</w:t>
      </w:r>
      <w:r w:rsidRPr="007D4FFF">
        <w:rPr>
          <w:rFonts w:ascii="微软雅黑" w:eastAsia="微软雅黑" w:hAnsi="微软雅黑" w:cs="Arial" w:hint="eastAsia"/>
          <w:kern w:val="0"/>
          <w:sz w:val="20"/>
          <w:szCs w:val="20"/>
        </w:rPr>
        <w:t xml:space="preserve">　地方各级人民法院分为高级人民法院、中级人民法院和基层人民法院。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第十四条</w:t>
      </w:r>
      <w:r w:rsidRPr="007D4FFF">
        <w:rPr>
          <w:rFonts w:ascii="微软雅黑" w:eastAsia="微软雅黑" w:hAnsi="微软雅黑" w:cs="Arial" w:hint="eastAsia"/>
          <w:kern w:val="0"/>
          <w:sz w:val="20"/>
          <w:szCs w:val="20"/>
        </w:rPr>
        <w:t xml:space="preserve">　在新疆生产建设兵团设立的人民法院的组织、案件管辖范围和法官任免，依照全国人民代表大会常务委员会的有关规定。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第十五条</w:t>
      </w:r>
      <w:r w:rsidRPr="007D4FFF">
        <w:rPr>
          <w:rFonts w:ascii="微软雅黑" w:eastAsia="微软雅黑" w:hAnsi="微软雅黑" w:cs="Arial" w:hint="eastAsia"/>
          <w:kern w:val="0"/>
          <w:sz w:val="20"/>
          <w:szCs w:val="20"/>
        </w:rPr>
        <w:t xml:space="preserve">　专门人民法院包括军事法院和海事法院、知识产权法院、金融法院等。</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专门人民法院的设置、组织、职权和法官任免，由全国人民代表大会常务委员会规定。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第十六条</w:t>
      </w:r>
      <w:r w:rsidRPr="007D4FFF">
        <w:rPr>
          <w:rFonts w:ascii="微软雅黑" w:eastAsia="微软雅黑" w:hAnsi="微软雅黑" w:cs="Arial" w:hint="eastAsia"/>
          <w:kern w:val="0"/>
          <w:sz w:val="20"/>
          <w:szCs w:val="20"/>
        </w:rPr>
        <w:t xml:space="preserve">　最高人民法院审理下列案件：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Arial" w:hint="eastAsia"/>
          <w:kern w:val="0"/>
          <w:sz w:val="20"/>
          <w:szCs w:val="20"/>
        </w:rPr>
        <w:t xml:space="preserve">　　（一）法律规定由其管</w:t>
      </w:r>
      <w:r w:rsidRPr="007D4FFF">
        <w:rPr>
          <w:rFonts w:ascii="微软雅黑" w:eastAsia="微软雅黑" w:hAnsi="微软雅黑" w:cs="仿宋_GB2312" w:hint="eastAsia"/>
          <w:kern w:val="0"/>
          <w:sz w:val="20"/>
          <w:szCs w:val="20"/>
        </w:rPr>
        <w:t>辖的和其认为应当由自己管辖的第一审案件；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（二）对高级人民法院判决和裁定的上诉、抗诉案件；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（三）按照全国人民代表大会常务委员会的规定提起的上诉、抗诉案件；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（四）按照审判监督程序提起的再审案件；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（五）高级人民法院报请核准的死刑案件。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仿宋_GB2312" w:hint="eastAsia"/>
          <w:kern w:val="0"/>
          <w:sz w:val="20"/>
          <w:szCs w:val="20"/>
        </w:rPr>
        <w:t xml:space="preserve">　　</w:t>
      </w:r>
      <w:r w:rsidRPr="00397529">
        <w:rPr>
          <w:rFonts w:ascii="微软雅黑" w:eastAsia="微软雅黑" w:hAnsi="微软雅黑" w:cs="黑体" w:hint="eastAsia"/>
          <w:b/>
          <w:kern w:val="0"/>
          <w:sz w:val="20"/>
          <w:szCs w:val="20"/>
        </w:rPr>
        <w:t>第十七条</w:t>
      </w:r>
      <w:r w:rsidRPr="007D4FFF">
        <w:rPr>
          <w:rFonts w:ascii="微软雅黑" w:eastAsia="微软雅黑" w:hAnsi="微软雅黑" w:cs="Arial" w:hint="eastAsia"/>
          <w:kern w:val="0"/>
          <w:sz w:val="20"/>
          <w:szCs w:val="20"/>
        </w:rPr>
        <w:t xml:space="preserve">　死刑除依法由最高人民法院判决的以外，应当报请最高人民法院核准。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第十八条</w:t>
      </w:r>
      <w:r w:rsidRPr="007D4FFF">
        <w:rPr>
          <w:rFonts w:ascii="微软雅黑" w:eastAsia="微软雅黑" w:hAnsi="微软雅黑" w:cs="Arial" w:hint="eastAsia"/>
          <w:kern w:val="0"/>
          <w:sz w:val="20"/>
          <w:szCs w:val="20"/>
        </w:rPr>
        <w:t xml:space="preserve">　最高人民法院可以对属于审判工作中具体应用法律的问题进行解释。</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最高人民法院可以发布指导性案例。</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第十九条</w:t>
      </w:r>
      <w:r w:rsidRPr="007D4FFF">
        <w:rPr>
          <w:rFonts w:ascii="微软雅黑" w:eastAsia="微软雅黑" w:hAnsi="微软雅黑" w:cs="Arial" w:hint="eastAsia"/>
          <w:kern w:val="0"/>
          <w:sz w:val="20"/>
          <w:szCs w:val="20"/>
        </w:rPr>
        <w:t xml:space="preserve">　最高人民法院可以设巡回法庭，审理最高人民法院依法确定的案件。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巡回法庭是最高人民法院的组成部分。巡回法庭的判决和裁定即最高人民法院的判决和裁定。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lastRenderedPageBreak/>
        <w:t xml:space="preserve">　　</w:t>
      </w:r>
      <w:r w:rsidRPr="00397529">
        <w:rPr>
          <w:rFonts w:ascii="微软雅黑" w:eastAsia="微软雅黑" w:hAnsi="微软雅黑" w:cs="黑体" w:hint="eastAsia"/>
          <w:b/>
          <w:kern w:val="0"/>
          <w:sz w:val="20"/>
          <w:szCs w:val="20"/>
        </w:rPr>
        <w:t>第二十条</w:t>
      </w:r>
      <w:r w:rsidRPr="007D4FFF">
        <w:rPr>
          <w:rFonts w:ascii="微软雅黑" w:eastAsia="微软雅黑" w:hAnsi="微软雅黑" w:cs="Arial" w:hint="eastAsia"/>
          <w:kern w:val="0"/>
          <w:sz w:val="20"/>
          <w:szCs w:val="20"/>
        </w:rPr>
        <w:t xml:space="preserve">　高级人民法院包括：</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（一）省高级人民法院；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（二）自治区高级人民法院；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（三）直辖市高级人民法院。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第二十一条</w:t>
      </w:r>
      <w:r w:rsidRPr="007D4FFF">
        <w:rPr>
          <w:rFonts w:ascii="微软雅黑" w:eastAsia="微软雅黑" w:hAnsi="微软雅黑" w:cs="Arial" w:hint="eastAsia"/>
          <w:kern w:val="0"/>
          <w:sz w:val="20"/>
          <w:szCs w:val="20"/>
        </w:rPr>
        <w:t xml:space="preserve">　高级人民法院审理下列案件：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Arial" w:hint="eastAsia"/>
          <w:kern w:val="0"/>
          <w:sz w:val="20"/>
          <w:szCs w:val="20"/>
        </w:rPr>
        <w:t xml:space="preserve">　　（一）法律规定由其管</w:t>
      </w:r>
      <w:r w:rsidRPr="007D4FFF">
        <w:rPr>
          <w:rFonts w:ascii="微软雅黑" w:eastAsia="微软雅黑" w:hAnsi="微软雅黑" w:cs="仿宋_GB2312" w:hint="eastAsia"/>
          <w:kern w:val="0"/>
          <w:sz w:val="20"/>
          <w:szCs w:val="20"/>
        </w:rPr>
        <w:t>辖的第一审案件；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（二）下级人民法院报请审理的第一审案件；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（三）最高人民法院指定管辖的第一审案件；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（四）对中级人民法院判决和裁定的上诉、抗诉案件；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（五）按照审判监督程序提起的再审案件；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（六）中级人民法院报请复核的死刑案件。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仿宋_GB2312" w:hint="eastAsia"/>
          <w:kern w:val="0"/>
          <w:sz w:val="20"/>
          <w:szCs w:val="20"/>
        </w:rPr>
        <w:t xml:space="preserve">　　</w:t>
      </w:r>
      <w:r w:rsidRPr="00397529">
        <w:rPr>
          <w:rFonts w:ascii="微软雅黑" w:eastAsia="微软雅黑" w:hAnsi="微软雅黑" w:cs="黑体" w:hint="eastAsia"/>
          <w:b/>
          <w:kern w:val="0"/>
          <w:sz w:val="20"/>
          <w:szCs w:val="20"/>
        </w:rPr>
        <w:t>第二十二条</w:t>
      </w:r>
      <w:r w:rsidRPr="007D4FFF">
        <w:rPr>
          <w:rFonts w:ascii="微软雅黑" w:eastAsia="微软雅黑" w:hAnsi="微软雅黑" w:cs="Arial" w:hint="eastAsia"/>
          <w:kern w:val="0"/>
          <w:sz w:val="20"/>
          <w:szCs w:val="20"/>
        </w:rPr>
        <w:t xml:space="preserve">　中级人民法院包括：</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（一）省、自治区辖市的中级人民法院；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（二）在直辖市内设立的中级人民法院；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（三）自治州中级人民法院；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（四）在省、自治区内按地区设立的中级人民法院。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第二十三条</w:t>
      </w:r>
      <w:r w:rsidRPr="007D4FFF">
        <w:rPr>
          <w:rFonts w:ascii="微软雅黑" w:eastAsia="微软雅黑" w:hAnsi="微软雅黑" w:cs="Arial" w:hint="eastAsia"/>
          <w:kern w:val="0"/>
          <w:sz w:val="20"/>
          <w:szCs w:val="20"/>
        </w:rPr>
        <w:t xml:space="preserve">　中级人民法院审理下列案件：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Arial" w:hint="eastAsia"/>
          <w:kern w:val="0"/>
          <w:sz w:val="20"/>
          <w:szCs w:val="20"/>
        </w:rPr>
        <w:t xml:space="preserve">　　（一）法律规定由其</w:t>
      </w:r>
      <w:r w:rsidRPr="007D4FFF">
        <w:rPr>
          <w:rFonts w:ascii="微软雅黑" w:eastAsia="微软雅黑" w:hAnsi="微软雅黑" w:cs="仿宋_GB2312" w:hint="eastAsia"/>
          <w:kern w:val="0"/>
          <w:sz w:val="20"/>
          <w:szCs w:val="20"/>
        </w:rPr>
        <w:t>管辖的第一审案件；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（二）基层人民法院报请审理的第一审案件；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（三）上级人民法院指定管辖的第一审案件；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（四）对基层人民法院判决和裁定的上诉、抗诉案件；</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（五）按照审判监督程序提起的再审案件。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仿宋_GB2312" w:hint="eastAsia"/>
          <w:kern w:val="0"/>
          <w:sz w:val="20"/>
          <w:szCs w:val="20"/>
        </w:rPr>
        <w:t xml:space="preserve">　　</w:t>
      </w:r>
      <w:r w:rsidRPr="00397529">
        <w:rPr>
          <w:rFonts w:ascii="微软雅黑" w:eastAsia="微软雅黑" w:hAnsi="微软雅黑" w:cs="黑体" w:hint="eastAsia"/>
          <w:b/>
          <w:kern w:val="0"/>
          <w:sz w:val="20"/>
          <w:szCs w:val="20"/>
        </w:rPr>
        <w:t>第二十四条</w:t>
      </w:r>
      <w:r w:rsidRPr="007D4FFF">
        <w:rPr>
          <w:rFonts w:ascii="微软雅黑" w:eastAsia="微软雅黑" w:hAnsi="微软雅黑" w:cs="Arial" w:hint="eastAsia"/>
          <w:kern w:val="0"/>
          <w:sz w:val="20"/>
          <w:szCs w:val="20"/>
        </w:rPr>
        <w:t xml:space="preserve">　基层人民法院包括：</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（一）县、自治县人民法院；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（二）不设区的市人民法院；</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（三）市辖区人民法院。</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第二十五条</w:t>
      </w:r>
      <w:r w:rsidRPr="007D4FFF">
        <w:rPr>
          <w:rFonts w:ascii="微软雅黑" w:eastAsia="微软雅黑" w:hAnsi="微软雅黑" w:cs="Arial" w:hint="eastAsia"/>
          <w:kern w:val="0"/>
          <w:sz w:val="20"/>
          <w:szCs w:val="20"/>
        </w:rPr>
        <w:t xml:space="preserve">　基层人</w:t>
      </w:r>
      <w:r w:rsidRPr="007D4FFF">
        <w:rPr>
          <w:rFonts w:ascii="微软雅黑" w:eastAsia="微软雅黑" w:hAnsi="微软雅黑" w:cs="仿宋_GB2312" w:hint="eastAsia"/>
          <w:kern w:val="0"/>
          <w:sz w:val="20"/>
          <w:szCs w:val="20"/>
        </w:rPr>
        <w:t>民法院审理第一审案件，法律另有规定的除外。</w:t>
      </w:r>
    </w:p>
    <w:p w:rsidR="005528B2" w:rsidRPr="007D4FFF" w:rsidRDefault="00614D2C" w:rsidP="007D4FFF">
      <w:pPr>
        <w:spacing w:line="240" w:lineRule="exact"/>
        <w:rPr>
          <w:rFonts w:ascii="微软雅黑" w:eastAsia="微软雅黑" w:hAnsi="微软雅黑" w:cs="仿宋_GB2312"/>
          <w:kern w:val="0"/>
          <w:sz w:val="20"/>
          <w:szCs w:val="20"/>
        </w:rPr>
      </w:pPr>
      <w:r w:rsidRPr="007D4FFF">
        <w:rPr>
          <w:rFonts w:ascii="微软雅黑" w:eastAsia="微软雅黑" w:hAnsi="微软雅黑" w:cs="仿宋_GB2312" w:hint="eastAsia"/>
          <w:kern w:val="0"/>
          <w:sz w:val="20"/>
          <w:szCs w:val="20"/>
        </w:rPr>
        <w:t xml:space="preserve">　　基层人民法院对人民调解委员会的调解工作进行业务指导。</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仿宋_GB2312" w:hint="eastAsia"/>
          <w:kern w:val="0"/>
          <w:sz w:val="20"/>
          <w:szCs w:val="20"/>
        </w:rPr>
        <w:t xml:space="preserve">　　</w:t>
      </w:r>
      <w:r w:rsidRPr="00397529">
        <w:rPr>
          <w:rFonts w:ascii="微软雅黑" w:eastAsia="微软雅黑" w:hAnsi="微软雅黑" w:cs="黑体" w:hint="eastAsia"/>
          <w:b/>
          <w:kern w:val="0"/>
          <w:sz w:val="20"/>
          <w:szCs w:val="20"/>
        </w:rPr>
        <w:t>第二十六条</w:t>
      </w:r>
      <w:r w:rsidRPr="007D4FFF">
        <w:rPr>
          <w:rFonts w:ascii="微软雅黑" w:eastAsia="微软雅黑" w:hAnsi="微软雅黑" w:cs="Arial" w:hint="eastAsia"/>
          <w:kern w:val="0"/>
          <w:sz w:val="20"/>
          <w:szCs w:val="20"/>
        </w:rPr>
        <w:t xml:space="preserve">　基层人民法院根据地区、人口和案件情况，可以设立若干人民法庭。</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人民法庭是基层人民法院的组成部分。人民法庭的判决和裁定即基层人民法院的判决和裁定。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第二十七条</w:t>
      </w:r>
      <w:r w:rsidRPr="007D4FFF">
        <w:rPr>
          <w:rFonts w:ascii="微软雅黑" w:eastAsia="微软雅黑" w:hAnsi="微软雅黑" w:cs="Arial" w:hint="eastAsia"/>
          <w:kern w:val="0"/>
          <w:sz w:val="20"/>
          <w:szCs w:val="20"/>
        </w:rPr>
        <w:t xml:space="preserve">　人民法院根据审判工作需要，可以设必要的专业审判庭。法官员额较少的中级人民法院和基层人民法院，可以设综合审判庭或者不设审判庭。</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人民法院根据审判工作需要，可以设综合业务机构。法官员额较少的中级人民法院和基层人民法院，可以不设综合业务机构。</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第二十八条</w:t>
      </w:r>
      <w:r w:rsidRPr="007D4FFF">
        <w:rPr>
          <w:rFonts w:ascii="微软雅黑" w:eastAsia="微软雅黑" w:hAnsi="微软雅黑" w:cs="Arial" w:hint="eastAsia"/>
          <w:kern w:val="0"/>
          <w:sz w:val="20"/>
          <w:szCs w:val="20"/>
        </w:rPr>
        <w:t xml:space="preserve">　人民法院根据工作需要，可以设必要的审判辅助机构和行政管理机构。</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第三章　人民法院的审判组织</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Pr="00397529">
        <w:rPr>
          <w:rFonts w:ascii="微软雅黑" w:eastAsia="微软雅黑" w:hAnsi="微软雅黑" w:cs="黑体" w:hint="eastAsia"/>
          <w:b/>
          <w:kern w:val="0"/>
          <w:sz w:val="20"/>
          <w:szCs w:val="20"/>
        </w:rPr>
        <w:t>第二十九条</w:t>
      </w:r>
      <w:r w:rsidRPr="007D4FFF">
        <w:rPr>
          <w:rFonts w:ascii="微软雅黑" w:eastAsia="微软雅黑" w:hAnsi="微软雅黑" w:cs="Arial" w:hint="eastAsia"/>
          <w:kern w:val="0"/>
          <w:sz w:val="20"/>
          <w:szCs w:val="20"/>
        </w:rPr>
        <w:t xml:space="preserve">　人民法院审理案件，由合议庭或者法官一人独任审理。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合议庭和法官独任审理的案件范围由法律规定。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第三十条</w:t>
      </w:r>
      <w:r w:rsidRPr="007D4FFF">
        <w:rPr>
          <w:rFonts w:ascii="微软雅黑" w:eastAsia="微软雅黑" w:hAnsi="微软雅黑" w:cs="Arial" w:hint="eastAsia"/>
          <w:kern w:val="0"/>
          <w:sz w:val="20"/>
          <w:szCs w:val="20"/>
        </w:rPr>
        <w:t xml:space="preserve">　合议庭由法官组成，或者由法官和人民陪审员组成，成员为三人以上单数。</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合议庭由一名法官担任审判长。院长或者庭长参加审理案件时，由自己担任审判长。</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审判长主持庭审、组织评议案件，评议案件时与合议庭其他成员权利平等。</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第三十一条</w:t>
      </w:r>
      <w:r w:rsidRPr="007D4FFF">
        <w:rPr>
          <w:rFonts w:ascii="微软雅黑" w:eastAsia="微软雅黑" w:hAnsi="微软雅黑" w:cs="Arial" w:hint="eastAsia"/>
          <w:kern w:val="0"/>
          <w:sz w:val="20"/>
          <w:szCs w:val="20"/>
        </w:rPr>
        <w:t xml:space="preserve">　合议庭评议案件应当按照多数人的意见</w:t>
      </w:r>
      <w:proofErr w:type="gramStart"/>
      <w:r w:rsidRPr="007D4FFF">
        <w:rPr>
          <w:rFonts w:ascii="微软雅黑" w:eastAsia="微软雅黑" w:hAnsi="微软雅黑" w:cs="Arial" w:hint="eastAsia"/>
          <w:kern w:val="0"/>
          <w:sz w:val="20"/>
          <w:szCs w:val="20"/>
        </w:rPr>
        <w:t>作出</w:t>
      </w:r>
      <w:proofErr w:type="gramEnd"/>
      <w:r w:rsidRPr="007D4FFF">
        <w:rPr>
          <w:rFonts w:ascii="微软雅黑" w:eastAsia="微软雅黑" w:hAnsi="微软雅黑" w:cs="Arial" w:hint="eastAsia"/>
          <w:kern w:val="0"/>
          <w:sz w:val="20"/>
          <w:szCs w:val="20"/>
        </w:rPr>
        <w:t>决定，少数人的意见应当记入笔录。评议案件笔录由合议庭全体组成人员签名。</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第三十二条</w:t>
      </w:r>
      <w:r w:rsidR="00F26D56">
        <w:rPr>
          <w:rFonts w:ascii="微软雅黑" w:eastAsia="微软雅黑" w:hAnsi="微软雅黑" w:cs="Arial" w:hint="eastAsia"/>
          <w:kern w:val="0"/>
          <w:sz w:val="20"/>
          <w:szCs w:val="20"/>
        </w:rPr>
        <w:t xml:space="preserve">　合议庭或</w:t>
      </w:r>
      <w:r w:rsidRPr="007D4FFF">
        <w:rPr>
          <w:rFonts w:ascii="微软雅黑" w:eastAsia="微软雅黑" w:hAnsi="微软雅黑" w:cs="Arial" w:hint="eastAsia"/>
          <w:kern w:val="0"/>
          <w:sz w:val="20"/>
          <w:szCs w:val="20"/>
        </w:rPr>
        <w:t>法官独任审理案件形成的裁判文书，经合议庭组成人员或者独任法官签署，由人民法院发布。</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第三十三条</w:t>
      </w:r>
      <w:r w:rsidRPr="007D4FFF">
        <w:rPr>
          <w:rFonts w:ascii="微软雅黑" w:eastAsia="微软雅黑" w:hAnsi="微软雅黑" w:cs="Arial" w:hint="eastAsia"/>
          <w:kern w:val="0"/>
          <w:sz w:val="20"/>
          <w:szCs w:val="20"/>
        </w:rPr>
        <w:t xml:space="preserve">　合议庭审理案件，法官对案件的事实认定和法律适用负责；法官独任审理案件，独任法官对案件的事实认定和法律适用负责。</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人民法院应当加强内部监督，审判活动有违法情形的，应当及时调查核实，并根据违法情形依法处理。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第三十四条</w:t>
      </w:r>
      <w:r w:rsidRPr="007D4FFF">
        <w:rPr>
          <w:rFonts w:ascii="微软雅黑" w:eastAsia="微软雅黑" w:hAnsi="微软雅黑" w:cs="Arial" w:hint="eastAsia"/>
          <w:kern w:val="0"/>
          <w:sz w:val="20"/>
          <w:szCs w:val="20"/>
        </w:rPr>
        <w:t xml:space="preserve">　人民陪审员依照法律规定参加合议庭审理案件。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第三十五条</w:t>
      </w:r>
      <w:r w:rsidRPr="007D4FFF">
        <w:rPr>
          <w:rFonts w:ascii="微软雅黑" w:eastAsia="微软雅黑" w:hAnsi="微软雅黑" w:cs="Arial" w:hint="eastAsia"/>
          <w:kern w:val="0"/>
          <w:sz w:val="20"/>
          <w:szCs w:val="20"/>
        </w:rPr>
        <w:t xml:space="preserve">　中级以上人民法院</w:t>
      </w:r>
      <w:proofErr w:type="gramStart"/>
      <w:r w:rsidRPr="007D4FFF">
        <w:rPr>
          <w:rFonts w:ascii="微软雅黑" w:eastAsia="微软雅黑" w:hAnsi="微软雅黑" w:cs="Arial" w:hint="eastAsia"/>
          <w:kern w:val="0"/>
          <w:sz w:val="20"/>
          <w:szCs w:val="20"/>
        </w:rPr>
        <w:t>设赔偿</w:t>
      </w:r>
      <w:proofErr w:type="gramEnd"/>
      <w:r w:rsidRPr="007D4FFF">
        <w:rPr>
          <w:rFonts w:ascii="微软雅黑" w:eastAsia="微软雅黑" w:hAnsi="微软雅黑" w:cs="Arial" w:hint="eastAsia"/>
          <w:kern w:val="0"/>
          <w:sz w:val="20"/>
          <w:szCs w:val="20"/>
        </w:rPr>
        <w:t>委员会，依法审理国家赔偿案件。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赔偿委员会由三名以上法官组成，成员应当为单数，按照多数人的意见</w:t>
      </w:r>
      <w:proofErr w:type="gramStart"/>
      <w:r w:rsidRPr="007D4FFF">
        <w:rPr>
          <w:rFonts w:ascii="微软雅黑" w:eastAsia="微软雅黑" w:hAnsi="微软雅黑" w:cs="Arial" w:hint="eastAsia"/>
          <w:kern w:val="0"/>
          <w:sz w:val="20"/>
          <w:szCs w:val="20"/>
        </w:rPr>
        <w:t>作出</w:t>
      </w:r>
      <w:proofErr w:type="gramEnd"/>
      <w:r w:rsidRPr="007D4FFF">
        <w:rPr>
          <w:rFonts w:ascii="微软雅黑" w:eastAsia="微软雅黑" w:hAnsi="微软雅黑" w:cs="Arial" w:hint="eastAsia"/>
          <w:kern w:val="0"/>
          <w:sz w:val="20"/>
          <w:szCs w:val="20"/>
        </w:rPr>
        <w:t>决定。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第三十六条</w:t>
      </w:r>
      <w:r w:rsidRPr="007D4FFF">
        <w:rPr>
          <w:rFonts w:ascii="微软雅黑" w:eastAsia="微软雅黑" w:hAnsi="微软雅黑" w:cs="Arial" w:hint="eastAsia"/>
          <w:kern w:val="0"/>
          <w:sz w:val="20"/>
          <w:szCs w:val="20"/>
        </w:rPr>
        <w:t xml:space="preserve">　各级人民法院设审判委员会。审判委员会由院长、副院长和若干资深法官组成，成员应当为单数。</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审判委员会会议分为全体会议和专业委员会会议。</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中级以上人民法院根据审判工作需要，可以按照审判委员会委员专业和工作分工，召开刑事审判、民事行政审判等专业委员会会议。</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第三十七条</w:t>
      </w:r>
      <w:r w:rsidRPr="007D4FFF">
        <w:rPr>
          <w:rFonts w:ascii="微软雅黑" w:eastAsia="微软雅黑" w:hAnsi="微软雅黑" w:cs="Arial" w:hint="eastAsia"/>
          <w:kern w:val="0"/>
          <w:sz w:val="20"/>
          <w:szCs w:val="20"/>
        </w:rPr>
        <w:t xml:space="preserve">　审判委员会履行下列职能：</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（一）总结审判工作经验；</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（二）讨论决定重大、疑难、复杂案件的法律适用；</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（三）讨论决定本院已经发生法律效力的判决、裁定、调解书是否应当再审；</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（四）讨论决定其他有关审判工作的重大问题。</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最高人民法院对属于审判工作中具体应用法律的问题进行解释，应当由审判委员会全体会议讨论通过；发布指导性案例，可以由审判委员会专业委员会会议讨论通过。</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lastRenderedPageBreak/>
        <w:t xml:space="preserve">　　</w:t>
      </w:r>
      <w:r w:rsidRPr="00397529">
        <w:rPr>
          <w:rFonts w:ascii="微软雅黑" w:eastAsia="微软雅黑" w:hAnsi="微软雅黑" w:cs="黑体" w:hint="eastAsia"/>
          <w:b/>
          <w:kern w:val="0"/>
          <w:sz w:val="20"/>
          <w:szCs w:val="20"/>
        </w:rPr>
        <w:t>第三十八条</w:t>
      </w:r>
      <w:r w:rsidRPr="007D4FFF">
        <w:rPr>
          <w:rFonts w:ascii="微软雅黑" w:eastAsia="微软雅黑" w:hAnsi="微软雅黑" w:cs="Arial" w:hint="eastAsia"/>
          <w:kern w:val="0"/>
          <w:sz w:val="20"/>
          <w:szCs w:val="20"/>
        </w:rPr>
        <w:t xml:space="preserve">　审判委员会召开全体会议和专业委员会会议，应当有其组成人员的过半数出席。</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审判委员会会议由院长或者院长委托的副院长主持。审判委员会实行民主集中制。</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审判委员会举行会议时，同级人民检察院检察长或者检察长委托的副检察长可以列席。</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第三十九条</w:t>
      </w:r>
      <w:r w:rsidRPr="007D4FFF">
        <w:rPr>
          <w:rFonts w:ascii="微软雅黑" w:eastAsia="微软雅黑" w:hAnsi="微软雅黑" w:cs="Arial" w:hint="eastAsia"/>
          <w:kern w:val="0"/>
          <w:sz w:val="20"/>
          <w:szCs w:val="20"/>
        </w:rPr>
        <w:t xml:space="preserve">　合议庭认为案件需要提交审判委员会讨论决定的，由审判长提出申请，院长批准。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审判委员会讨论案件，合议庭对其汇报的事实负责，审判委员会委员对本人发表的意见和表决负责。审判委员会的决定，合议庭应当执行。</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审判委员会讨论案件的决定及其理由应当在裁判文书中公开，法律规定不公开的除外。</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第四章　人民法院的人员组成</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Pr="00397529">
        <w:rPr>
          <w:rFonts w:ascii="微软雅黑" w:eastAsia="微软雅黑" w:hAnsi="微软雅黑" w:cs="黑体" w:hint="eastAsia"/>
          <w:b/>
          <w:kern w:val="0"/>
          <w:sz w:val="20"/>
          <w:szCs w:val="20"/>
        </w:rPr>
        <w:t>第四十条</w:t>
      </w:r>
      <w:r w:rsidRPr="007D4FFF">
        <w:rPr>
          <w:rFonts w:ascii="微软雅黑" w:eastAsia="微软雅黑" w:hAnsi="微软雅黑" w:cs="Arial" w:hint="eastAsia"/>
          <w:kern w:val="0"/>
          <w:sz w:val="20"/>
          <w:szCs w:val="20"/>
        </w:rPr>
        <w:t xml:space="preserve">　人民法院的审判人员由院长、副院长、审判委员会委员和审判员等人员组成。</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第四十一条</w:t>
      </w:r>
      <w:r w:rsidRPr="007D4FFF">
        <w:rPr>
          <w:rFonts w:ascii="微软雅黑" w:eastAsia="微软雅黑" w:hAnsi="微软雅黑" w:cs="Arial" w:hint="eastAsia"/>
          <w:kern w:val="0"/>
          <w:sz w:val="20"/>
          <w:szCs w:val="20"/>
        </w:rPr>
        <w:t xml:space="preserve">　人民法院院长负责本院全面工作，监督本院审判工作，管理本院行政事务。人民法院副院长协助院长工作。</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第四十二条</w:t>
      </w:r>
      <w:r w:rsidRPr="007D4FFF">
        <w:rPr>
          <w:rFonts w:ascii="微软雅黑" w:eastAsia="微软雅黑" w:hAnsi="微软雅黑" w:cs="Arial" w:hint="eastAsia"/>
          <w:kern w:val="0"/>
          <w:sz w:val="20"/>
          <w:szCs w:val="20"/>
        </w:rPr>
        <w:t xml:space="preserve">　最高人民法院院长由全国人民代表大会选举，副院长、审判委员会委员、庭长、副庭长和审判员由院长提请全国人民代表大会常务委员会任免。</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最高人民法院巡回法庭庭长、副庭长，由最高人民法院院长提请全国人民代表大会常务委员会任免。</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第四十三条</w:t>
      </w:r>
      <w:r w:rsidRPr="007D4FFF">
        <w:rPr>
          <w:rFonts w:ascii="微软雅黑" w:eastAsia="微软雅黑" w:hAnsi="微软雅黑" w:cs="Arial" w:hint="eastAsia"/>
          <w:kern w:val="0"/>
          <w:sz w:val="20"/>
          <w:szCs w:val="20"/>
        </w:rPr>
        <w:t xml:space="preserve">　地方各级人民法院院长由本级人民代表大会选举，副院长、审判委员会委员、庭长、副庭长和审判员由院长提请本级人民代表大会常务委员会任免。</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在省、自治区内按地区设立的和在直辖市内设立的中级人民法院院长，由省、自治区、直辖市人民代表大会常务委员会根据主任会议的提名决定任免，副院长、审判委员会委员、庭长、副庭长和审判员由高级人民法院院长提请省、自治区、直辖市人民代表大会常务委员会任免。</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第四十四条</w:t>
      </w:r>
      <w:r w:rsidRPr="007D4FFF">
        <w:rPr>
          <w:rFonts w:ascii="微软雅黑" w:eastAsia="微软雅黑" w:hAnsi="微软雅黑" w:cs="Arial" w:hint="eastAsia"/>
          <w:kern w:val="0"/>
          <w:sz w:val="20"/>
          <w:szCs w:val="20"/>
        </w:rPr>
        <w:t xml:space="preserve">　人民法院院长任期与产生它的人民代表大会每届任期相同。</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各级人民代表大会有权罢免由其选出的人民法院院长。在地方人民代表大会闭会期间，本级人民代表大会常务委员会认为人民法院院长需要撤换的，应当报请上级人民代表大会常务委员会批准。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第四十五条</w:t>
      </w:r>
      <w:r w:rsidRPr="007D4FFF">
        <w:rPr>
          <w:rFonts w:ascii="微软雅黑" w:eastAsia="微软雅黑" w:hAnsi="微软雅黑" w:cs="Arial" w:hint="eastAsia"/>
          <w:kern w:val="0"/>
          <w:sz w:val="20"/>
          <w:szCs w:val="20"/>
        </w:rPr>
        <w:t xml:space="preserve">　人民法院的法官、审判辅助人员和司法行政人员实行分类管理。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第四十六条</w:t>
      </w:r>
      <w:r w:rsidRPr="007D4FFF">
        <w:rPr>
          <w:rFonts w:ascii="微软雅黑" w:eastAsia="微软雅黑" w:hAnsi="微软雅黑" w:cs="Arial" w:hint="eastAsia"/>
          <w:kern w:val="0"/>
          <w:sz w:val="20"/>
          <w:szCs w:val="20"/>
        </w:rPr>
        <w:t xml:space="preserve">　法官实行员额制。法官员额根据案件数量、经济社会发展情况、人口数量和人民法院审级等因素确定。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最高人民法院法官员额由最高人民法院商有关部门确定。地方各级人民法院法官员额，在省、自治区、直辖市内实行总量控制、动态管理。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第四十七条</w:t>
      </w:r>
      <w:r w:rsidRPr="007D4FFF">
        <w:rPr>
          <w:rFonts w:ascii="微软雅黑" w:eastAsia="微软雅黑" w:hAnsi="微软雅黑" w:cs="Arial" w:hint="eastAsia"/>
          <w:kern w:val="0"/>
          <w:sz w:val="20"/>
          <w:szCs w:val="20"/>
        </w:rPr>
        <w:t xml:space="preserve">　法官从取得法律职业资格并且具备法律规定的其他条件的人员中选任。初任法官应当由法官遴选委员会进行专业能力审核。上级人民法院的法官一般从下级人民法院的法官中择优遴选。</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院长应当具有法学专业知识和法律职业经历。副院长、审判委员会委员应当从法官、检察官或者其他具备法官、检察官条件的人员中产生。</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法官的职责、管理和保障，依照《中华人民共和国法官法》的规定。</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第四十八条</w:t>
      </w:r>
      <w:r w:rsidRPr="007D4FFF">
        <w:rPr>
          <w:rFonts w:ascii="微软雅黑" w:eastAsia="微软雅黑" w:hAnsi="微软雅黑" w:cs="Arial" w:hint="eastAsia"/>
          <w:kern w:val="0"/>
          <w:sz w:val="20"/>
          <w:szCs w:val="20"/>
        </w:rPr>
        <w:t xml:space="preserve">　人民法院的法官助理在法官指导下负责审查案件材料、草拟法律文书等审判辅助事务。</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符合法官任职条件的法官助理，经遴选后可以按照法官任免程序任命为法官。</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第四十九条</w:t>
      </w:r>
      <w:r w:rsidRPr="007D4FFF">
        <w:rPr>
          <w:rFonts w:ascii="微软雅黑" w:eastAsia="微软雅黑" w:hAnsi="微软雅黑" w:cs="Arial" w:hint="eastAsia"/>
          <w:kern w:val="0"/>
          <w:sz w:val="20"/>
          <w:szCs w:val="20"/>
        </w:rPr>
        <w:t xml:space="preserve">　人民法院的书记员负责法庭审理记录等审判辅助事务。</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第五十条</w:t>
      </w:r>
      <w:r w:rsidRPr="007D4FFF">
        <w:rPr>
          <w:rFonts w:ascii="微软雅黑" w:eastAsia="微软雅黑" w:hAnsi="微软雅黑" w:cs="Arial" w:hint="eastAsia"/>
          <w:kern w:val="0"/>
          <w:sz w:val="20"/>
          <w:szCs w:val="20"/>
        </w:rPr>
        <w:t xml:space="preserve">　人民法院的司法警察负责法庭警戒、人员押解和看管等警务事项。</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司法警察依照《中华人民共和国人民警察法》管理。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97529">
        <w:rPr>
          <w:rFonts w:ascii="微软雅黑" w:eastAsia="微软雅黑" w:hAnsi="微软雅黑" w:cs="黑体" w:hint="eastAsia"/>
          <w:b/>
          <w:kern w:val="0"/>
          <w:sz w:val="20"/>
          <w:szCs w:val="20"/>
        </w:rPr>
        <w:t>第五十一条</w:t>
      </w:r>
      <w:r w:rsidRPr="007D4FFF">
        <w:rPr>
          <w:rFonts w:ascii="微软雅黑" w:eastAsia="微软雅黑" w:hAnsi="微软雅黑" w:cs="Arial" w:hint="eastAsia"/>
          <w:kern w:val="0"/>
          <w:sz w:val="20"/>
          <w:szCs w:val="20"/>
        </w:rPr>
        <w:t xml:space="preserve">　人民法院根据审判工作需要，可以</w:t>
      </w:r>
      <w:proofErr w:type="gramStart"/>
      <w:r w:rsidRPr="007D4FFF">
        <w:rPr>
          <w:rFonts w:ascii="微软雅黑" w:eastAsia="微软雅黑" w:hAnsi="微软雅黑" w:cs="Arial" w:hint="eastAsia"/>
          <w:kern w:val="0"/>
          <w:sz w:val="20"/>
          <w:szCs w:val="20"/>
        </w:rPr>
        <w:t>设司法</w:t>
      </w:r>
      <w:proofErr w:type="gramEnd"/>
      <w:r w:rsidRPr="007D4FFF">
        <w:rPr>
          <w:rFonts w:ascii="微软雅黑" w:eastAsia="微软雅黑" w:hAnsi="微软雅黑" w:cs="Arial" w:hint="eastAsia"/>
          <w:kern w:val="0"/>
          <w:sz w:val="20"/>
          <w:szCs w:val="20"/>
        </w:rPr>
        <w:t>技术人员，负责与审判工作有关的事项。</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第五章　人民法院行使职权的保障</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Pr="00363338">
        <w:rPr>
          <w:rFonts w:ascii="微软雅黑" w:eastAsia="微软雅黑" w:hAnsi="微软雅黑" w:cs="黑体" w:hint="eastAsia"/>
          <w:b/>
          <w:kern w:val="0"/>
          <w:sz w:val="20"/>
          <w:szCs w:val="20"/>
        </w:rPr>
        <w:t>第五十二条</w:t>
      </w:r>
      <w:r w:rsidRPr="007D4FFF">
        <w:rPr>
          <w:rFonts w:ascii="微软雅黑" w:eastAsia="微软雅黑" w:hAnsi="微软雅黑" w:cs="Arial" w:hint="eastAsia"/>
          <w:kern w:val="0"/>
          <w:sz w:val="20"/>
          <w:szCs w:val="20"/>
        </w:rPr>
        <w:t xml:space="preserve">　任何单位或者个人不得要求法官从事超出法定职责范围的事务。</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对于领导干部等干预司法活动、插手具体案件处理，或者人民法院内部人员过问案件情况的，办案人员应当全面如实记录并报告；有违法违纪情形的，由有关机关根据情节轻重追究行为人的责任。</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63338">
        <w:rPr>
          <w:rFonts w:ascii="微软雅黑" w:eastAsia="微软雅黑" w:hAnsi="微软雅黑" w:cs="黑体" w:hint="eastAsia"/>
          <w:b/>
          <w:kern w:val="0"/>
          <w:sz w:val="20"/>
          <w:szCs w:val="20"/>
        </w:rPr>
        <w:t>第五十三条</w:t>
      </w:r>
      <w:r w:rsidRPr="007D4FFF">
        <w:rPr>
          <w:rFonts w:ascii="微软雅黑" w:eastAsia="微软雅黑" w:hAnsi="微软雅黑" w:cs="Arial" w:hint="eastAsia"/>
          <w:kern w:val="0"/>
          <w:sz w:val="20"/>
          <w:szCs w:val="20"/>
        </w:rPr>
        <w:t xml:space="preserve">　人民法院</w:t>
      </w:r>
      <w:proofErr w:type="gramStart"/>
      <w:r w:rsidRPr="007D4FFF">
        <w:rPr>
          <w:rFonts w:ascii="微软雅黑" w:eastAsia="微软雅黑" w:hAnsi="微软雅黑" w:cs="Arial" w:hint="eastAsia"/>
          <w:kern w:val="0"/>
          <w:sz w:val="20"/>
          <w:szCs w:val="20"/>
        </w:rPr>
        <w:t>作出</w:t>
      </w:r>
      <w:proofErr w:type="gramEnd"/>
      <w:r w:rsidRPr="007D4FFF">
        <w:rPr>
          <w:rFonts w:ascii="微软雅黑" w:eastAsia="微软雅黑" w:hAnsi="微软雅黑" w:cs="Arial" w:hint="eastAsia"/>
          <w:kern w:val="0"/>
          <w:sz w:val="20"/>
          <w:szCs w:val="20"/>
        </w:rPr>
        <w:t>的判决、裁定等生效法律文书，义务人应当依法履行；拒不履行的，依法追究法律责任。</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63338">
        <w:rPr>
          <w:rFonts w:ascii="微软雅黑" w:eastAsia="微软雅黑" w:hAnsi="微软雅黑" w:cs="黑体" w:hint="eastAsia"/>
          <w:b/>
          <w:kern w:val="0"/>
          <w:sz w:val="20"/>
          <w:szCs w:val="20"/>
        </w:rPr>
        <w:t>第五十四条</w:t>
      </w:r>
      <w:r w:rsidRPr="007D4FFF">
        <w:rPr>
          <w:rFonts w:ascii="微软雅黑" w:eastAsia="微软雅黑" w:hAnsi="微软雅黑" w:cs="Arial" w:hint="eastAsia"/>
          <w:kern w:val="0"/>
          <w:sz w:val="20"/>
          <w:szCs w:val="20"/>
        </w:rPr>
        <w:t xml:space="preserve">　人民法院采取必要措施，维护法庭秩序和审判权威。对妨碍人民法院依法行使职权的违法犯罪行为，依法追究法律责任。</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363338">
        <w:rPr>
          <w:rFonts w:ascii="微软雅黑" w:eastAsia="微软雅黑" w:hAnsi="微软雅黑" w:cs="黑体" w:hint="eastAsia"/>
          <w:b/>
          <w:kern w:val="0"/>
          <w:sz w:val="20"/>
          <w:szCs w:val="20"/>
        </w:rPr>
        <w:t>第五十五条</w:t>
      </w:r>
      <w:r w:rsidRPr="007D4FFF">
        <w:rPr>
          <w:rFonts w:ascii="微软雅黑" w:eastAsia="微软雅黑" w:hAnsi="微软雅黑" w:cs="Arial" w:hint="eastAsia"/>
          <w:kern w:val="0"/>
          <w:sz w:val="20"/>
          <w:szCs w:val="20"/>
        </w:rPr>
        <w:t xml:space="preserve">　人民法院实行培训制度，法官、审判辅助人员和司法行政人员应当接受理论和业务培训。</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22759E">
        <w:rPr>
          <w:rFonts w:ascii="微软雅黑" w:eastAsia="微软雅黑" w:hAnsi="微软雅黑" w:cs="黑体" w:hint="eastAsia"/>
          <w:b/>
          <w:kern w:val="0"/>
          <w:sz w:val="20"/>
          <w:szCs w:val="20"/>
        </w:rPr>
        <w:t>第五十六条</w:t>
      </w:r>
      <w:r w:rsidRPr="007D4FFF">
        <w:rPr>
          <w:rFonts w:ascii="微软雅黑" w:eastAsia="微软雅黑" w:hAnsi="微软雅黑" w:cs="Arial" w:hint="eastAsia"/>
          <w:kern w:val="0"/>
          <w:sz w:val="20"/>
          <w:szCs w:val="20"/>
        </w:rPr>
        <w:t xml:space="preserve">　人民法院人员编制实行专项管理。</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22759E">
        <w:rPr>
          <w:rFonts w:ascii="微软雅黑" w:eastAsia="微软雅黑" w:hAnsi="微软雅黑" w:cs="黑体" w:hint="eastAsia"/>
          <w:b/>
          <w:kern w:val="0"/>
          <w:sz w:val="20"/>
          <w:szCs w:val="20"/>
        </w:rPr>
        <w:t>第五十七条</w:t>
      </w:r>
      <w:r w:rsidRPr="007D4FFF">
        <w:rPr>
          <w:rFonts w:ascii="微软雅黑" w:eastAsia="微软雅黑" w:hAnsi="微软雅黑" w:cs="Arial" w:hint="eastAsia"/>
          <w:kern w:val="0"/>
          <w:sz w:val="20"/>
          <w:szCs w:val="20"/>
        </w:rPr>
        <w:t xml:space="preserve">　人民法院的经费按照事权划分的原则列入财政预算，保障审判工作需要。</w:t>
      </w:r>
    </w:p>
    <w:p w:rsidR="005528B2" w:rsidRPr="007D4FFF" w:rsidRDefault="00614D2C" w:rsidP="007D4FFF">
      <w:pPr>
        <w:spacing w:line="240" w:lineRule="exact"/>
        <w:rPr>
          <w:rFonts w:ascii="微软雅黑" w:eastAsia="微软雅黑" w:hAnsi="微软雅黑" w:cs="Arial"/>
          <w:kern w:val="0"/>
          <w:sz w:val="20"/>
          <w:szCs w:val="20"/>
        </w:rPr>
      </w:pPr>
      <w:r w:rsidRPr="007D4FFF">
        <w:rPr>
          <w:rFonts w:ascii="微软雅黑" w:eastAsia="微软雅黑" w:hAnsi="微软雅黑" w:cs="Arial" w:hint="eastAsia"/>
          <w:kern w:val="0"/>
          <w:sz w:val="20"/>
          <w:szCs w:val="20"/>
        </w:rPr>
        <w:t xml:space="preserve">　　</w:t>
      </w:r>
      <w:r w:rsidRPr="0022759E">
        <w:rPr>
          <w:rFonts w:ascii="微软雅黑" w:eastAsia="微软雅黑" w:hAnsi="微软雅黑" w:cs="黑体" w:hint="eastAsia"/>
          <w:b/>
          <w:kern w:val="0"/>
          <w:sz w:val="20"/>
          <w:szCs w:val="20"/>
        </w:rPr>
        <w:t>第五十八条</w:t>
      </w:r>
      <w:r w:rsidRPr="007D4FFF">
        <w:rPr>
          <w:rFonts w:ascii="微软雅黑" w:eastAsia="微软雅黑" w:hAnsi="微软雅黑" w:cs="Arial" w:hint="eastAsia"/>
          <w:kern w:val="0"/>
          <w:sz w:val="20"/>
          <w:szCs w:val="20"/>
        </w:rPr>
        <w:t xml:space="preserve">　人民法院应当加强信息化建设，运用现代信息技术，促进司法公开，提高工作效率。</w:t>
      </w:r>
    </w:p>
    <w:p w:rsidR="005528B2" w:rsidRPr="007D4FFF" w:rsidRDefault="005528B2" w:rsidP="007D4FFF">
      <w:pPr>
        <w:spacing w:line="240" w:lineRule="exact"/>
        <w:rPr>
          <w:rFonts w:ascii="微软雅黑" w:eastAsia="微软雅黑" w:hAnsi="微软雅黑" w:cs="宋体"/>
          <w:kern w:val="0"/>
          <w:sz w:val="20"/>
          <w:szCs w:val="20"/>
        </w:rPr>
      </w:pPr>
    </w:p>
    <w:p w:rsidR="005528B2" w:rsidRPr="007D4FFF" w:rsidRDefault="00614D2C" w:rsidP="007D4FFF">
      <w:pPr>
        <w:spacing w:line="240" w:lineRule="exact"/>
        <w:jc w:val="center"/>
        <w:rPr>
          <w:rFonts w:ascii="微软雅黑" w:eastAsia="微软雅黑" w:hAnsi="微软雅黑" w:cs="黑体"/>
          <w:b/>
          <w:kern w:val="0"/>
          <w:sz w:val="20"/>
          <w:szCs w:val="20"/>
        </w:rPr>
      </w:pPr>
      <w:r w:rsidRPr="007D4FFF">
        <w:rPr>
          <w:rFonts w:ascii="微软雅黑" w:eastAsia="微软雅黑" w:hAnsi="微软雅黑" w:cs="黑体" w:hint="eastAsia"/>
          <w:b/>
          <w:kern w:val="0"/>
          <w:sz w:val="20"/>
          <w:szCs w:val="20"/>
        </w:rPr>
        <w:t>第六章　附则</w:t>
      </w:r>
    </w:p>
    <w:p w:rsidR="005528B2" w:rsidRPr="007D4FFF" w:rsidRDefault="005528B2" w:rsidP="007D4FFF">
      <w:pPr>
        <w:spacing w:line="240" w:lineRule="exact"/>
        <w:rPr>
          <w:rFonts w:ascii="微软雅黑" w:eastAsia="微软雅黑" w:hAnsi="微软雅黑" w:cs="宋体"/>
          <w:kern w:val="0"/>
          <w:sz w:val="20"/>
          <w:szCs w:val="20"/>
        </w:rPr>
      </w:pPr>
      <w:bookmarkStart w:id="0" w:name="_GoBack"/>
    </w:p>
    <w:bookmarkEnd w:id="0"/>
    <w:p w:rsidR="005528B2" w:rsidRPr="007D4FFF" w:rsidRDefault="000F77AB" w:rsidP="007D4FFF">
      <w:pPr>
        <w:spacing w:line="240" w:lineRule="exact"/>
        <w:rPr>
          <w:rFonts w:ascii="微软雅黑" w:eastAsia="微软雅黑" w:hAnsi="微软雅黑" w:cs="Arial"/>
          <w:kern w:val="0"/>
          <w:sz w:val="20"/>
          <w:szCs w:val="20"/>
        </w:rPr>
      </w:pPr>
      <w:r w:rsidRPr="007D4FFF">
        <w:rPr>
          <w:rFonts w:ascii="微软雅黑" w:eastAsia="微软雅黑" w:hAnsi="微软雅黑" w:cs="黑体" w:hint="eastAsia"/>
          <w:kern w:val="0"/>
          <w:sz w:val="20"/>
          <w:szCs w:val="20"/>
        </w:rPr>
        <w:t xml:space="preserve">　　</w:t>
      </w:r>
      <w:r w:rsidR="00614D2C" w:rsidRPr="0022759E">
        <w:rPr>
          <w:rFonts w:ascii="微软雅黑" w:eastAsia="微软雅黑" w:hAnsi="微软雅黑" w:cs="黑体" w:hint="eastAsia"/>
          <w:b/>
          <w:kern w:val="0"/>
          <w:sz w:val="20"/>
          <w:szCs w:val="20"/>
        </w:rPr>
        <w:t>第五十九条</w:t>
      </w:r>
      <w:r w:rsidR="00614D2C" w:rsidRPr="007D4FFF">
        <w:rPr>
          <w:rFonts w:ascii="微软雅黑" w:eastAsia="微软雅黑" w:hAnsi="微软雅黑" w:cs="Arial" w:hint="eastAsia"/>
          <w:kern w:val="0"/>
          <w:sz w:val="20"/>
          <w:szCs w:val="20"/>
        </w:rPr>
        <w:t xml:space="preserve">　本法自2019年1月1日起施行。</w:t>
      </w:r>
    </w:p>
    <w:sectPr w:rsidR="005528B2" w:rsidRPr="007D4FFF" w:rsidSect="007D4FF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116" w:rsidRDefault="00996116" w:rsidP="005528B2">
      <w:r>
        <w:separator/>
      </w:r>
    </w:p>
  </w:endnote>
  <w:endnote w:type="continuationSeparator" w:id="0">
    <w:p w:rsidR="00996116" w:rsidRDefault="00996116" w:rsidP="0055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F37971">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528B2" w:rsidRDefault="00614D2C">
                <w:pPr>
                  <w:pStyle w:val="a6"/>
                  <w:rPr>
                    <w:rFonts w:ascii="宋体" w:eastAsia="宋体" w:hAnsi="宋体" w:cs="宋体"/>
                    <w:sz w:val="28"/>
                    <w:szCs w:val="28"/>
                  </w:rPr>
                </w:pPr>
                <w:r>
                  <w:rPr>
                    <w:rFonts w:ascii="宋体" w:eastAsia="宋体" w:hAnsi="宋体" w:cs="宋体" w:hint="eastAsia"/>
                    <w:sz w:val="28"/>
                    <w:szCs w:val="28"/>
                    <w:lang w:eastAsia="zh-CN"/>
                  </w:rPr>
                  <w:t xml:space="preserve">　—</w:t>
                </w:r>
                <w:r w:rsidR="00F37971">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F37971">
                  <w:rPr>
                    <w:rFonts w:ascii="宋体" w:eastAsia="宋体" w:hAnsi="宋体" w:cs="宋体" w:hint="eastAsia"/>
                    <w:sz w:val="28"/>
                    <w:szCs w:val="28"/>
                  </w:rPr>
                  <w:fldChar w:fldCharType="separate"/>
                </w:r>
                <w:r w:rsidR="007D4FFF">
                  <w:rPr>
                    <w:rFonts w:ascii="宋体" w:eastAsia="宋体" w:hAnsi="宋体" w:cs="宋体"/>
                    <w:noProof/>
                    <w:sz w:val="28"/>
                    <w:szCs w:val="28"/>
                  </w:rPr>
                  <w:t>2</w:t>
                </w:r>
                <w:r w:rsidR="00F37971">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F37971">
    <w:pPr>
      <w:pStyle w:val="a6"/>
    </w:pPr>
    <w:r>
      <w:pict>
        <v:shapetype id="_x0000_t202" coordsize="21600,21600" o:spt="202" path="m,l,21600r21600,l21600,xe">
          <v:stroke joinstyle="miter"/>
          <v:path gradientshapeok="t" o:connecttype="rect"/>
        </v:shapetype>
        <v:shape id="_x0000_s1026" type="#_x0000_t202" style="position:absolute;margin-left:454.2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5528B2" w:rsidRDefault="00614D2C">
                <w:pPr>
                  <w:pStyle w:val="a6"/>
                  <w:wordWrap w:val="0"/>
                  <w:jc w:val="right"/>
                  <w:rPr>
                    <w:rFonts w:ascii="宋体" w:eastAsia="宋体" w:hAnsi="宋体" w:cs="宋体"/>
                    <w:sz w:val="28"/>
                    <w:szCs w:val="28"/>
                  </w:rPr>
                </w:pPr>
                <w:r>
                  <w:rPr>
                    <w:rFonts w:ascii="宋体" w:eastAsia="宋体" w:hAnsi="宋体" w:cs="宋体" w:hint="eastAsia"/>
                    <w:sz w:val="28"/>
                    <w:szCs w:val="28"/>
                    <w:lang w:eastAsia="zh-CN"/>
                  </w:rPr>
                  <w:t>—</w:t>
                </w:r>
                <w:r w:rsidR="00F37971">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F37971">
                  <w:rPr>
                    <w:rFonts w:ascii="宋体" w:eastAsia="宋体" w:hAnsi="宋体" w:cs="宋体" w:hint="eastAsia"/>
                    <w:sz w:val="28"/>
                    <w:szCs w:val="28"/>
                  </w:rPr>
                  <w:fldChar w:fldCharType="separate"/>
                </w:r>
                <w:r w:rsidR="00397529">
                  <w:rPr>
                    <w:rFonts w:ascii="宋体" w:eastAsia="宋体" w:hAnsi="宋体" w:cs="宋体"/>
                    <w:noProof/>
                    <w:sz w:val="28"/>
                    <w:szCs w:val="28"/>
                  </w:rPr>
                  <w:t>1</w:t>
                </w:r>
                <w:r w:rsidR="00F37971">
                  <w:rPr>
                    <w:rFonts w:ascii="宋体" w:eastAsia="宋体" w:hAnsi="宋体" w:cs="宋体" w:hint="eastAsia"/>
                    <w:sz w:val="28"/>
                    <w:szCs w:val="28"/>
                  </w:rPr>
                  <w:fldChar w:fldCharType="end"/>
                </w:r>
                <w:r>
                  <w:rPr>
                    <w:rFonts w:ascii="宋体" w:eastAsia="宋体" w:hAnsi="宋体" w:cs="宋体" w:hint="eastAsia"/>
                    <w:sz w:val="28"/>
                    <w:szCs w:val="28"/>
                    <w:lang w:eastAsia="zh-CN"/>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116" w:rsidRDefault="00996116" w:rsidP="005528B2">
      <w:r>
        <w:separator/>
      </w:r>
    </w:p>
  </w:footnote>
  <w:footnote w:type="continuationSeparator" w:id="0">
    <w:p w:rsidR="00996116" w:rsidRDefault="00996116" w:rsidP="0055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B2" w:rsidRDefault="005528B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408C7"/>
    <w:rsid w:val="00047741"/>
    <w:rsid w:val="0005018B"/>
    <w:rsid w:val="00062E6C"/>
    <w:rsid w:val="000778B0"/>
    <w:rsid w:val="000803E8"/>
    <w:rsid w:val="000E7366"/>
    <w:rsid w:val="000F77AB"/>
    <w:rsid w:val="001033D0"/>
    <w:rsid w:val="00125D8F"/>
    <w:rsid w:val="00130DFD"/>
    <w:rsid w:val="00152F70"/>
    <w:rsid w:val="0017628A"/>
    <w:rsid w:val="001A2752"/>
    <w:rsid w:val="001A3C91"/>
    <w:rsid w:val="001A5F92"/>
    <w:rsid w:val="001D6F2E"/>
    <w:rsid w:val="001E2657"/>
    <w:rsid w:val="002070BD"/>
    <w:rsid w:val="0021593C"/>
    <w:rsid w:val="0022759E"/>
    <w:rsid w:val="00233C4A"/>
    <w:rsid w:val="002407D9"/>
    <w:rsid w:val="00277DE5"/>
    <w:rsid w:val="00297298"/>
    <w:rsid w:val="002979E0"/>
    <w:rsid w:val="002A3EF0"/>
    <w:rsid w:val="002F7DF8"/>
    <w:rsid w:val="00304A84"/>
    <w:rsid w:val="00320296"/>
    <w:rsid w:val="00341FBF"/>
    <w:rsid w:val="00361106"/>
    <w:rsid w:val="00363338"/>
    <w:rsid w:val="003870B2"/>
    <w:rsid w:val="00397529"/>
    <w:rsid w:val="00405342"/>
    <w:rsid w:val="0041162C"/>
    <w:rsid w:val="004B29FD"/>
    <w:rsid w:val="004B5AED"/>
    <w:rsid w:val="004E0129"/>
    <w:rsid w:val="004E3F7A"/>
    <w:rsid w:val="004F3FA8"/>
    <w:rsid w:val="004F682B"/>
    <w:rsid w:val="005521DE"/>
    <w:rsid w:val="005528B2"/>
    <w:rsid w:val="005866F9"/>
    <w:rsid w:val="00597FF0"/>
    <w:rsid w:val="005B4D16"/>
    <w:rsid w:val="005C6A1B"/>
    <w:rsid w:val="005E5EEF"/>
    <w:rsid w:val="006125B7"/>
    <w:rsid w:val="00614D2C"/>
    <w:rsid w:val="0061561D"/>
    <w:rsid w:val="006208B2"/>
    <w:rsid w:val="00661B2B"/>
    <w:rsid w:val="006858D8"/>
    <w:rsid w:val="006B016C"/>
    <w:rsid w:val="006B487D"/>
    <w:rsid w:val="006B7880"/>
    <w:rsid w:val="0079691A"/>
    <w:rsid w:val="007D4FFF"/>
    <w:rsid w:val="00831E9A"/>
    <w:rsid w:val="008A5502"/>
    <w:rsid w:val="008D5D88"/>
    <w:rsid w:val="008F69CD"/>
    <w:rsid w:val="00900D1F"/>
    <w:rsid w:val="00902FF2"/>
    <w:rsid w:val="009857B2"/>
    <w:rsid w:val="00996116"/>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26D56"/>
    <w:rsid w:val="00F37971"/>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721E1E74"/>
    <w:rsid w:val="72406E3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8B2"/>
    <w:pPr>
      <w:widowControl w:val="0"/>
      <w:jc w:val="both"/>
    </w:pPr>
    <w:rPr>
      <w:rFonts w:eastAsia="仿宋_GB2312"/>
      <w:kern w:val="2"/>
      <w:sz w:val="32"/>
      <w:szCs w:val="24"/>
    </w:rPr>
  </w:style>
  <w:style w:type="paragraph" w:styleId="1">
    <w:name w:val="heading 1"/>
    <w:basedOn w:val="a"/>
    <w:next w:val="a"/>
    <w:link w:val="1Char"/>
    <w:qFormat/>
    <w:rsid w:val="005528B2"/>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rsid w:val="005528B2"/>
    <w:pPr>
      <w:keepNext/>
      <w:keepLines/>
      <w:spacing w:before="260" w:after="260" w:line="416" w:lineRule="auto"/>
      <w:ind w:firstLineChars="200" w:firstLine="200"/>
      <w:jc w:val="left"/>
      <w:outlineLvl w:val="1"/>
    </w:pPr>
    <w:rPr>
      <w:rFonts w:ascii="Cambria" w:eastAsia="宋体" w:hAnsi="Cambria"/>
      <w:b/>
      <w:bCs/>
      <w:szCs w:val="32"/>
      <w:lang/>
    </w:rPr>
  </w:style>
  <w:style w:type="paragraph" w:styleId="3">
    <w:name w:val="heading 3"/>
    <w:basedOn w:val="a"/>
    <w:next w:val="a"/>
    <w:link w:val="3Char"/>
    <w:qFormat/>
    <w:rsid w:val="005528B2"/>
    <w:pPr>
      <w:keepNext/>
      <w:keepLines/>
      <w:spacing w:before="260" w:after="260" w:line="416" w:lineRule="auto"/>
      <w:outlineLvl w:val="2"/>
    </w:pPr>
    <w:rPr>
      <w:b/>
      <w:bCs/>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28B2"/>
    <w:pPr>
      <w:shd w:val="clear" w:color="auto" w:fill="000080"/>
    </w:pPr>
  </w:style>
  <w:style w:type="paragraph" w:styleId="a4">
    <w:name w:val="Plain Text"/>
    <w:basedOn w:val="a"/>
    <w:link w:val="Char"/>
    <w:uiPriority w:val="99"/>
    <w:unhideWhenUsed/>
    <w:qFormat/>
    <w:rsid w:val="005528B2"/>
    <w:rPr>
      <w:rFonts w:ascii="宋体" w:eastAsia="宋体" w:hAnsi="Courier New"/>
      <w:sz w:val="21"/>
      <w:szCs w:val="21"/>
      <w:lang/>
    </w:rPr>
  </w:style>
  <w:style w:type="paragraph" w:styleId="a5">
    <w:name w:val="Balloon Text"/>
    <w:basedOn w:val="a"/>
    <w:semiHidden/>
    <w:qFormat/>
    <w:rsid w:val="005528B2"/>
    <w:rPr>
      <w:sz w:val="18"/>
      <w:szCs w:val="18"/>
    </w:rPr>
  </w:style>
  <w:style w:type="paragraph" w:styleId="a6">
    <w:name w:val="footer"/>
    <w:basedOn w:val="a"/>
    <w:link w:val="Char0"/>
    <w:uiPriority w:val="99"/>
    <w:qFormat/>
    <w:rsid w:val="005528B2"/>
    <w:pPr>
      <w:tabs>
        <w:tab w:val="center" w:pos="4153"/>
        <w:tab w:val="right" w:pos="8306"/>
      </w:tabs>
      <w:snapToGrid w:val="0"/>
      <w:jc w:val="left"/>
    </w:pPr>
    <w:rPr>
      <w:sz w:val="18"/>
      <w:szCs w:val="18"/>
      <w:lang/>
    </w:rPr>
  </w:style>
  <w:style w:type="paragraph" w:styleId="a7">
    <w:name w:val="header"/>
    <w:basedOn w:val="a"/>
    <w:link w:val="Char1"/>
    <w:uiPriority w:val="99"/>
    <w:qFormat/>
    <w:rsid w:val="005528B2"/>
    <w:pPr>
      <w:pBdr>
        <w:bottom w:val="single" w:sz="6" w:space="1" w:color="auto"/>
      </w:pBdr>
      <w:tabs>
        <w:tab w:val="center" w:pos="4153"/>
        <w:tab w:val="right" w:pos="8306"/>
      </w:tabs>
      <w:snapToGrid w:val="0"/>
      <w:jc w:val="center"/>
    </w:pPr>
    <w:rPr>
      <w:sz w:val="18"/>
      <w:szCs w:val="18"/>
      <w:lang/>
    </w:rPr>
  </w:style>
  <w:style w:type="paragraph" w:styleId="10">
    <w:name w:val="toc 1"/>
    <w:basedOn w:val="a"/>
    <w:next w:val="a"/>
    <w:uiPriority w:val="39"/>
    <w:qFormat/>
    <w:rsid w:val="005528B2"/>
  </w:style>
  <w:style w:type="paragraph" w:styleId="a8">
    <w:name w:val="Subtitle"/>
    <w:basedOn w:val="a"/>
    <w:next w:val="a"/>
    <w:link w:val="Char2"/>
    <w:qFormat/>
    <w:rsid w:val="005528B2"/>
    <w:pPr>
      <w:spacing w:before="240" w:after="60" w:line="312" w:lineRule="auto"/>
      <w:jc w:val="center"/>
      <w:outlineLvl w:val="1"/>
    </w:pPr>
    <w:rPr>
      <w:rFonts w:ascii="Cambria" w:eastAsia="宋体" w:hAnsi="Cambria"/>
      <w:b/>
      <w:bCs/>
      <w:kern w:val="28"/>
      <w:szCs w:val="32"/>
      <w:lang/>
    </w:rPr>
  </w:style>
  <w:style w:type="paragraph" w:styleId="20">
    <w:name w:val="toc 2"/>
    <w:basedOn w:val="a"/>
    <w:next w:val="a"/>
    <w:uiPriority w:val="39"/>
    <w:qFormat/>
    <w:rsid w:val="005528B2"/>
    <w:pPr>
      <w:ind w:leftChars="200" w:left="420"/>
    </w:pPr>
  </w:style>
  <w:style w:type="paragraph" w:styleId="a9">
    <w:name w:val="Title"/>
    <w:basedOn w:val="a"/>
    <w:next w:val="a"/>
    <w:link w:val="Char3"/>
    <w:qFormat/>
    <w:rsid w:val="005528B2"/>
    <w:pPr>
      <w:spacing w:before="240" w:after="60"/>
      <w:jc w:val="center"/>
      <w:outlineLvl w:val="0"/>
    </w:pPr>
    <w:rPr>
      <w:rFonts w:ascii="Cambria" w:eastAsia="宋体" w:hAnsi="Cambria"/>
      <w:b/>
      <w:bCs/>
      <w:szCs w:val="32"/>
      <w:lang/>
    </w:rPr>
  </w:style>
  <w:style w:type="character" w:styleId="aa">
    <w:name w:val="Strong"/>
    <w:qFormat/>
    <w:rsid w:val="005528B2"/>
    <w:rPr>
      <w:b/>
      <w:bCs/>
    </w:rPr>
  </w:style>
  <w:style w:type="character" w:styleId="ab">
    <w:name w:val="page number"/>
    <w:basedOn w:val="a0"/>
    <w:qFormat/>
    <w:rsid w:val="005528B2"/>
  </w:style>
  <w:style w:type="character" w:styleId="ac">
    <w:name w:val="FollowedHyperlink"/>
    <w:qFormat/>
    <w:rsid w:val="005528B2"/>
    <w:rPr>
      <w:color w:val="800080"/>
      <w:u w:val="single"/>
    </w:rPr>
  </w:style>
  <w:style w:type="character" w:styleId="ad">
    <w:name w:val="Emphasis"/>
    <w:qFormat/>
    <w:rsid w:val="005528B2"/>
    <w:rPr>
      <w:i/>
      <w:iCs/>
    </w:rPr>
  </w:style>
  <w:style w:type="character" w:styleId="ae">
    <w:name w:val="Hyperlink"/>
    <w:uiPriority w:val="99"/>
    <w:qFormat/>
    <w:rsid w:val="005528B2"/>
    <w:rPr>
      <w:rFonts w:ascii="ˎ̥" w:hAnsi="ˎ̥" w:hint="default"/>
      <w:color w:val="0404B3"/>
      <w:sz w:val="18"/>
      <w:szCs w:val="18"/>
      <w:u w:val="none"/>
    </w:rPr>
  </w:style>
  <w:style w:type="paragraph" w:customStyle="1" w:styleId="Style20">
    <w:name w:val="_Style 20"/>
    <w:basedOn w:val="1"/>
    <w:next w:val="a"/>
    <w:uiPriority w:val="39"/>
    <w:qFormat/>
    <w:rsid w:val="005528B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528B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5528B2"/>
    <w:rPr>
      <w:rFonts w:eastAsia="仿宋_GB2312"/>
      <w:kern w:val="2"/>
      <w:sz w:val="18"/>
      <w:szCs w:val="18"/>
    </w:rPr>
  </w:style>
  <w:style w:type="character" w:customStyle="1" w:styleId="Char">
    <w:name w:val="纯文本 Char"/>
    <w:link w:val="a4"/>
    <w:uiPriority w:val="99"/>
    <w:qFormat/>
    <w:rsid w:val="005528B2"/>
    <w:rPr>
      <w:rFonts w:ascii="宋体" w:hAnsi="Courier New" w:cs="Courier New"/>
      <w:kern w:val="2"/>
      <w:sz w:val="21"/>
      <w:szCs w:val="21"/>
    </w:rPr>
  </w:style>
  <w:style w:type="character" w:customStyle="1" w:styleId="Char10">
    <w:name w:val="纯文本 Char1"/>
    <w:qFormat/>
    <w:rsid w:val="005528B2"/>
    <w:rPr>
      <w:rFonts w:ascii="宋体" w:hAnsi="Courier New" w:cs="Courier New"/>
      <w:kern w:val="2"/>
      <w:sz w:val="21"/>
      <w:szCs w:val="21"/>
    </w:rPr>
  </w:style>
  <w:style w:type="character" w:customStyle="1" w:styleId="Char2">
    <w:name w:val="副标题 Char"/>
    <w:link w:val="a8"/>
    <w:qFormat/>
    <w:rsid w:val="005528B2"/>
    <w:rPr>
      <w:rFonts w:ascii="Cambria" w:hAnsi="Cambria" w:cs="Times New Roman"/>
      <w:b/>
      <w:bCs/>
      <w:kern w:val="28"/>
      <w:sz w:val="32"/>
      <w:szCs w:val="32"/>
    </w:rPr>
  </w:style>
  <w:style w:type="character" w:customStyle="1" w:styleId="1Char">
    <w:name w:val="标题 1 Char"/>
    <w:link w:val="1"/>
    <w:qFormat/>
    <w:rsid w:val="005528B2"/>
    <w:rPr>
      <w:rFonts w:eastAsia="仿宋_GB2312"/>
      <w:b/>
      <w:bCs/>
      <w:kern w:val="44"/>
      <w:sz w:val="44"/>
      <w:szCs w:val="44"/>
    </w:rPr>
  </w:style>
  <w:style w:type="character" w:customStyle="1" w:styleId="Char3">
    <w:name w:val="标题 Char"/>
    <w:link w:val="a9"/>
    <w:qFormat/>
    <w:rsid w:val="005528B2"/>
    <w:rPr>
      <w:rFonts w:ascii="Cambria" w:hAnsi="Cambria" w:cs="Times New Roman"/>
      <w:b/>
      <w:bCs/>
      <w:kern w:val="2"/>
      <w:sz w:val="32"/>
      <w:szCs w:val="32"/>
    </w:rPr>
  </w:style>
  <w:style w:type="character" w:customStyle="1" w:styleId="11Char">
    <w:name w:val="1.1 Char"/>
    <w:link w:val="11"/>
    <w:qFormat/>
    <w:rsid w:val="005528B2"/>
    <w:rPr>
      <w:rFonts w:ascii="Calibri" w:hAnsi="Calibri"/>
      <w:b/>
      <w:bCs/>
      <w:kern w:val="2"/>
      <w:sz w:val="30"/>
      <w:szCs w:val="32"/>
    </w:rPr>
  </w:style>
  <w:style w:type="character" w:customStyle="1" w:styleId="3Char">
    <w:name w:val="标题 3 Char"/>
    <w:link w:val="3"/>
    <w:semiHidden/>
    <w:qFormat/>
    <w:rsid w:val="005528B2"/>
    <w:rPr>
      <w:rFonts w:eastAsia="仿宋_GB2312"/>
      <w:b/>
      <w:bCs/>
      <w:kern w:val="2"/>
      <w:sz w:val="32"/>
      <w:szCs w:val="32"/>
    </w:rPr>
  </w:style>
  <w:style w:type="character" w:customStyle="1" w:styleId="2Char">
    <w:name w:val="标题 2 Char"/>
    <w:link w:val="2"/>
    <w:uiPriority w:val="9"/>
    <w:qFormat/>
    <w:rsid w:val="005528B2"/>
    <w:rPr>
      <w:rFonts w:ascii="Cambria" w:hAnsi="Cambria"/>
      <w:b/>
      <w:bCs/>
      <w:kern w:val="2"/>
      <w:sz w:val="32"/>
      <w:szCs w:val="32"/>
    </w:rPr>
  </w:style>
  <w:style w:type="character" w:customStyle="1" w:styleId="Char0">
    <w:name w:val="页脚 Char"/>
    <w:link w:val="a6"/>
    <w:uiPriority w:val="99"/>
    <w:qFormat/>
    <w:rsid w:val="005528B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863</Words>
  <Characters>4922</Characters>
  <Application>Microsoft Office Word</Application>
  <DocSecurity>0</DocSecurity>
  <Lines>41</Lines>
  <Paragraphs>11</Paragraphs>
  <ScaleCrop>false</ScaleCrop>
  <Company>Lenovo</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A003</dc:title>
  <dc:creator>新大榭</dc:creator>
  <cp:lastModifiedBy>Zhanglb</cp:lastModifiedBy>
  <cp:revision>65</cp:revision>
  <cp:lastPrinted>2016-11-15T16:26:00Z</cp:lastPrinted>
  <dcterms:created xsi:type="dcterms:W3CDTF">2016-10-19T07:39:00Z</dcterms:created>
  <dcterms:modified xsi:type="dcterms:W3CDTF">2023-04-10T11:26:00Z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